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53" w:rsidRDefault="00BF4753">
      <w:bookmarkStart w:id="0" w:name="_GoBack"/>
      <w:bookmarkEnd w:id="0"/>
    </w:p>
    <w:p w:rsidR="00BF4753" w:rsidRPr="00BF4753" w:rsidRDefault="00BD1A17" w:rsidP="00BF4753">
      <w:pPr>
        <w:jc w:val="right"/>
        <w:rPr>
          <w:i/>
        </w:rPr>
      </w:pPr>
      <w:r>
        <w:rPr>
          <w:i/>
        </w:rPr>
        <w:tab/>
        <w:t xml:space="preserve">Model </w:t>
      </w:r>
      <w:r w:rsidR="00515F16">
        <w:rPr>
          <w:i/>
        </w:rPr>
        <w:t>G</w:t>
      </w:r>
    </w:p>
    <w:p w:rsidR="00EE551F" w:rsidRDefault="00EE551F" w:rsidP="00BF4753">
      <w:pPr>
        <w:jc w:val="center"/>
        <w:rPr>
          <w:b/>
          <w:bCs/>
          <w:szCs w:val="20"/>
        </w:rPr>
      </w:pPr>
    </w:p>
    <w:p w:rsidR="00BF4753" w:rsidRPr="00EE551F" w:rsidRDefault="00BF4753" w:rsidP="00BF4753">
      <w:pPr>
        <w:jc w:val="center"/>
        <w:rPr>
          <w:b/>
          <w:bCs/>
          <w:szCs w:val="20"/>
        </w:rPr>
      </w:pPr>
      <w:r w:rsidRPr="00EE551F">
        <w:rPr>
          <w:b/>
          <w:bCs/>
          <w:szCs w:val="20"/>
        </w:rPr>
        <w:t>Declarația privind respectarea aplicării principiului DNSH în implementarea proiectului</w:t>
      </w:r>
    </w:p>
    <w:p w:rsidR="00BF4753" w:rsidRDefault="00BF4753" w:rsidP="00BF4753">
      <w:pPr>
        <w:jc w:val="both"/>
        <w:rPr>
          <w:b/>
          <w:bCs/>
          <w:color w:val="0070C0"/>
          <w:szCs w:val="20"/>
        </w:rPr>
      </w:pPr>
    </w:p>
    <w:p w:rsidR="00BF4753" w:rsidRPr="00333216" w:rsidRDefault="00BF4753" w:rsidP="00BF4753">
      <w:pPr>
        <w:ind w:firstLine="720"/>
        <w:jc w:val="both"/>
        <w:rPr>
          <w:szCs w:val="20"/>
        </w:rPr>
      </w:pPr>
      <w:r w:rsidRPr="00333216">
        <w:rPr>
          <w:szCs w:val="20"/>
        </w:rPr>
        <w:t>Subsemnatul &lt;</w:t>
      </w:r>
      <w:r w:rsidRPr="00826B03">
        <w:rPr>
          <w:color w:val="00B0F0"/>
          <w:szCs w:val="20"/>
        </w:rPr>
        <w:t>nume, prenume</w:t>
      </w:r>
      <w:r w:rsidRPr="00333216">
        <w:rPr>
          <w:szCs w:val="20"/>
        </w:rPr>
        <w:t>&gt; posesor al CI seria &lt;</w:t>
      </w:r>
      <w:r w:rsidRPr="00826B03">
        <w:rPr>
          <w:color w:val="00B0F0"/>
          <w:szCs w:val="20"/>
        </w:rPr>
        <w:t>seria</w:t>
      </w:r>
      <w:r w:rsidRPr="00333216">
        <w:rPr>
          <w:szCs w:val="20"/>
        </w:rPr>
        <w:t>&gt;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eliberată de &lt;</w:t>
      </w:r>
      <w:r w:rsidRPr="00826B03">
        <w:rPr>
          <w:color w:val="00B0F0"/>
          <w:szCs w:val="20"/>
        </w:rPr>
        <w:t>organismul emitent</w:t>
      </w:r>
      <w:r w:rsidRPr="00333216">
        <w:rPr>
          <w:szCs w:val="20"/>
        </w:rPr>
        <w:t>&gt;, CNP &lt;</w:t>
      </w:r>
      <w:r w:rsidRPr="00826B03">
        <w:rPr>
          <w:color w:val="00B0F0"/>
          <w:szCs w:val="20"/>
        </w:rPr>
        <w:t>CNP</w:t>
      </w:r>
      <w:r w:rsidRPr="00333216">
        <w:rPr>
          <w:szCs w:val="20"/>
        </w:rPr>
        <w:t>&gt; / paşaport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 xml:space="preserve">&gt;, eliberat de &lt;organismul emitent&gt;, în calitate de reprezentant legal </w:t>
      </w:r>
      <w:r w:rsidR="00EE551F">
        <w:rPr>
          <w:szCs w:val="20"/>
        </w:rPr>
        <w:t xml:space="preserve">/ împuternicit </w:t>
      </w:r>
      <w:r w:rsidRPr="00333216">
        <w:rPr>
          <w:szCs w:val="20"/>
        </w:rPr>
        <w:t>al &lt;</w:t>
      </w:r>
      <w:r w:rsidRPr="00826B03">
        <w:rPr>
          <w:color w:val="00B0F0"/>
          <w:szCs w:val="20"/>
        </w:rPr>
        <w:t>denumirea solicitant</w:t>
      </w:r>
      <w:r w:rsidRPr="00333216">
        <w:rPr>
          <w:szCs w:val="20"/>
        </w:rPr>
        <w:t>&gt;, cunoscând că declararea necorespunzătoare a adev</w:t>
      </w:r>
      <w:r w:rsidRPr="00333216">
        <w:rPr>
          <w:rFonts w:ascii="Calibri" w:hAnsi="Calibri" w:cs="Calibri"/>
          <w:szCs w:val="20"/>
        </w:rPr>
        <w:t>ǎ</w:t>
      </w:r>
      <w:r w:rsidRPr="00333216">
        <w:rPr>
          <w:szCs w:val="20"/>
        </w:rPr>
        <w:t>rului, inclusiv prin omisiune, constituie infrac</w:t>
      </w:r>
      <w:r w:rsidRPr="00333216">
        <w:rPr>
          <w:rFonts w:cs="Trebuchet MS"/>
          <w:szCs w:val="20"/>
        </w:rPr>
        <w:t>ţ</w:t>
      </w:r>
      <w:r w:rsidRPr="00333216">
        <w:rPr>
          <w:szCs w:val="20"/>
        </w:rPr>
        <w:t xml:space="preserve">iune </w:t>
      </w:r>
      <w:r w:rsidRPr="00333216">
        <w:rPr>
          <w:rFonts w:cs="Trebuchet MS"/>
          <w:szCs w:val="20"/>
        </w:rPr>
        <w:t>ş</w:t>
      </w:r>
      <w:r w:rsidRPr="00333216">
        <w:rPr>
          <w:szCs w:val="20"/>
        </w:rPr>
        <w:t>i este pedepsit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 de legea penal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, declar pe propria r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spundere c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: </w:t>
      </w:r>
    </w:p>
    <w:p w:rsidR="00BF4753" w:rsidRDefault="00BF4753" w:rsidP="00BF4753">
      <w:pPr>
        <w:pStyle w:val="ListParagraph"/>
        <w:numPr>
          <w:ilvl w:val="0"/>
          <w:numId w:val="1"/>
        </w:numPr>
        <w:jc w:val="both"/>
        <w:rPr>
          <w:szCs w:val="20"/>
        </w:rPr>
      </w:pPr>
      <w:r w:rsidRPr="0040000C">
        <w:rPr>
          <w:szCs w:val="20"/>
        </w:rPr>
        <w:t>În implementarea proiectului &lt;</w:t>
      </w:r>
      <w:r w:rsidRPr="0040000C">
        <w:rPr>
          <w:color w:val="00B0F0"/>
          <w:szCs w:val="20"/>
        </w:rPr>
        <w:t>denumire proiect</w:t>
      </w:r>
      <w:r w:rsidR="00EE4858">
        <w:rPr>
          <w:szCs w:val="20"/>
        </w:rPr>
        <w:t>&gt;, se va respecta</w:t>
      </w:r>
      <w:r w:rsidRPr="0040000C">
        <w:rPr>
          <w:szCs w:val="20"/>
        </w:rPr>
        <w:t xml:space="preserve"> principiul de a nu prejudicia în mod semnificativ obiectivele de mediu în înțelesul articolului 17 din Regulamentul (UE) 2020/852 (principiul de «a nu prejudicia în mod semnificativ»).</w:t>
      </w:r>
    </w:p>
    <w:p w:rsidR="00EE4858" w:rsidRDefault="00EE4858" w:rsidP="00EE4858">
      <w:pPr>
        <w:pStyle w:val="ListParagraph"/>
        <w:ind w:left="1080"/>
        <w:jc w:val="both"/>
        <w:rPr>
          <w:szCs w:val="20"/>
        </w:rPr>
      </w:pPr>
    </w:p>
    <w:p w:rsidR="00BF4753" w:rsidRPr="007B3CCD" w:rsidRDefault="00BF4753" w:rsidP="00EE4858">
      <w:pPr>
        <w:pStyle w:val="ListParagraph"/>
        <w:numPr>
          <w:ilvl w:val="0"/>
          <w:numId w:val="1"/>
        </w:numPr>
        <w:jc w:val="both"/>
        <w:rPr>
          <w:szCs w:val="20"/>
        </w:rPr>
      </w:pPr>
      <w:r w:rsidRPr="00DE6EFA">
        <w:rPr>
          <w:szCs w:val="20"/>
        </w:rPr>
        <w:t xml:space="preserve">În vederea respectării principiului de la alin.(1), în conformitate cu prevederile Directivei 2010/75/UE a Parlamentului European și a Consiliului din 24 noiembrie 2010 privind emisiile industriale (prevenirea și controlul integrat al poluării) (reformare), întreprinderile care </w:t>
      </w:r>
      <w:r w:rsidR="00EE4858">
        <w:rPr>
          <w:szCs w:val="20"/>
        </w:rPr>
        <w:t xml:space="preserve">au obținut </w:t>
      </w:r>
      <w:r w:rsidR="00EE4858" w:rsidRPr="00EE4858">
        <w:rPr>
          <w:szCs w:val="20"/>
        </w:rPr>
        <w:t>mai mult de 50 % din veniturile lor în cursul exerci</w:t>
      </w:r>
      <w:r w:rsidR="00EE4858" w:rsidRPr="00EE4858">
        <w:rPr>
          <w:rFonts w:hint="eastAsia"/>
          <w:szCs w:val="20"/>
        </w:rPr>
        <w:t>ț</w:t>
      </w:r>
      <w:r w:rsidR="00EE4858" w:rsidRPr="00EE4858">
        <w:rPr>
          <w:szCs w:val="20"/>
        </w:rPr>
        <w:t>iului financiar precedent</w:t>
      </w:r>
      <w:r w:rsidR="00EE4858">
        <w:rPr>
          <w:szCs w:val="20"/>
        </w:rPr>
        <w:t xml:space="preserve"> depunerii cererii de finanțare</w:t>
      </w:r>
      <w:r w:rsidR="00EE4858" w:rsidRPr="00EE4858">
        <w:rPr>
          <w:szCs w:val="20"/>
        </w:rPr>
        <w:t xml:space="preserve"> din </w:t>
      </w:r>
      <w:r w:rsidR="00EE4858">
        <w:rPr>
          <w:szCs w:val="20"/>
        </w:rPr>
        <w:t xml:space="preserve">următoarele </w:t>
      </w:r>
      <w:r w:rsidR="00EE4858" w:rsidRPr="00EE4858">
        <w:rPr>
          <w:szCs w:val="20"/>
        </w:rPr>
        <w:t>activit</w:t>
      </w:r>
      <w:r w:rsidR="00EE4858" w:rsidRPr="00EE4858">
        <w:rPr>
          <w:rFonts w:hint="eastAsia"/>
          <w:szCs w:val="20"/>
        </w:rPr>
        <w:t>ăț</w:t>
      </w:r>
      <w:r w:rsidR="00EE4858" w:rsidRPr="00EE4858">
        <w:rPr>
          <w:szCs w:val="20"/>
        </w:rPr>
        <w:t xml:space="preserve">i </w:t>
      </w:r>
      <w:r w:rsidR="00EE4858" w:rsidRPr="00EE4858">
        <w:rPr>
          <w:rFonts w:hint="eastAsia"/>
          <w:szCs w:val="20"/>
        </w:rPr>
        <w:t>ș</w:t>
      </w:r>
      <w:r w:rsidR="00EE4858" w:rsidRPr="00EE4858">
        <w:rPr>
          <w:szCs w:val="20"/>
        </w:rPr>
        <w:t>i/sau active incluse pe lista de excludere au obliga</w:t>
      </w:r>
      <w:r w:rsidR="00EE4858" w:rsidRPr="00EE4858">
        <w:rPr>
          <w:rFonts w:hint="eastAsia"/>
          <w:szCs w:val="20"/>
        </w:rPr>
        <w:t>ț</w:t>
      </w:r>
      <w:r w:rsidR="00EE4858" w:rsidRPr="00EE4858">
        <w:rPr>
          <w:szCs w:val="20"/>
        </w:rPr>
        <w:t xml:space="preserve">ia de a adopta </w:t>
      </w:r>
      <w:r w:rsidR="00EE4858" w:rsidRPr="00EE4858">
        <w:rPr>
          <w:rFonts w:hint="eastAsia"/>
          <w:szCs w:val="20"/>
        </w:rPr>
        <w:t>ș</w:t>
      </w:r>
      <w:r w:rsidR="00EE4858" w:rsidRPr="00EE4858">
        <w:rPr>
          <w:szCs w:val="20"/>
        </w:rPr>
        <w:t>i de a publica planuri privind tranzi</w:t>
      </w:r>
      <w:r w:rsidR="00EE4858" w:rsidRPr="00EE4858">
        <w:rPr>
          <w:rFonts w:hint="eastAsia"/>
          <w:szCs w:val="20"/>
        </w:rPr>
        <w:t>ț</w:t>
      </w:r>
      <w:r w:rsidR="00EE4858" w:rsidRPr="00EE4858">
        <w:rPr>
          <w:szCs w:val="20"/>
        </w:rPr>
        <w:t>ia verde</w:t>
      </w:r>
      <w:r w:rsidR="00EE551F">
        <w:rPr>
          <w:szCs w:val="20"/>
        </w:rPr>
        <w:t>.</w:t>
      </w:r>
      <w:r w:rsidR="00EE4858">
        <w:rPr>
          <w:rFonts w:eastAsia="TimesNewRomanPSMT"/>
          <w:sz w:val="23"/>
          <w:szCs w:val="23"/>
        </w:rPr>
        <w:t xml:space="preserve"> </w:t>
      </w:r>
    </w:p>
    <w:p w:rsidR="007B3CCD" w:rsidRPr="007B3CCD" w:rsidRDefault="007B3CCD" w:rsidP="007B3CCD">
      <w:pPr>
        <w:pStyle w:val="ListParagraph"/>
        <w:rPr>
          <w:szCs w:val="20"/>
        </w:rPr>
      </w:pPr>
    </w:p>
    <w:p w:rsidR="007B3CCD" w:rsidRDefault="007B3CCD" w:rsidP="007B3CCD">
      <w:pPr>
        <w:pStyle w:val="ListParagraph"/>
        <w:ind w:left="1080"/>
        <w:jc w:val="both"/>
        <w:rPr>
          <w:szCs w:val="20"/>
        </w:rPr>
      </w:pPr>
    </w:p>
    <w:p w:rsidR="007B3CCD" w:rsidRPr="007335A2" w:rsidRDefault="007B3CCD" w:rsidP="007B3CCD">
      <w:pPr>
        <w:pStyle w:val="ListParagraph"/>
        <w:numPr>
          <w:ilvl w:val="0"/>
          <w:numId w:val="3"/>
        </w:numPr>
        <w:spacing w:before="0" w:after="160" w:line="276" w:lineRule="auto"/>
        <w:jc w:val="both"/>
      </w:pPr>
      <w:r w:rsidRPr="007335A2">
        <w:t>Activități și active legate de combustibili fosili, inclusiv utilizarea din aval</w:t>
      </w:r>
    </w:p>
    <w:p w:rsidR="007B3CCD" w:rsidRPr="007335A2" w:rsidRDefault="007B3CCD" w:rsidP="007B3CCD">
      <w:pPr>
        <w:pStyle w:val="ListParagraph"/>
        <w:spacing w:line="276" w:lineRule="auto"/>
      </w:pPr>
    </w:p>
    <w:p w:rsidR="007B3CCD" w:rsidRPr="007335A2" w:rsidRDefault="007B3CCD" w:rsidP="007B3CCD">
      <w:pPr>
        <w:pStyle w:val="ListParagraph"/>
        <w:numPr>
          <w:ilvl w:val="0"/>
          <w:numId w:val="2"/>
        </w:numPr>
        <w:spacing w:before="0" w:after="160" w:line="276" w:lineRule="auto"/>
        <w:ind w:left="1080"/>
        <w:jc w:val="both"/>
      </w:pPr>
      <w:r w:rsidRPr="007335A2">
        <w:t>Producția de energie pe bază de combustibili fosili și activitățile conexe: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extracția, prelucrarea, transportul și depozitarea cărbunelui;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explorarea și producția de petrol, rafinare, transport, distribuție și depozitare;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explorarea și producerea gazelor naturale, lichefierea, regazificarea, transportul, distribuția și stocarea;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generarea de energie electrică care depășește standardul de performanță al emisiilor (adică, 250 de grame de CO2/kWh de energie electrică) aplicabil centralelor electrice și de cogenerare pe combustibili fosili și centralelor geotermale și hidroelectrice cu rezervoare mari;</w:t>
      </w:r>
    </w:p>
    <w:p w:rsidR="007B3CCD" w:rsidRPr="007335A2" w:rsidRDefault="007B3CCD" w:rsidP="007B3CCD">
      <w:pPr>
        <w:pStyle w:val="ListParagraph"/>
        <w:numPr>
          <w:ilvl w:val="0"/>
          <w:numId w:val="2"/>
        </w:numPr>
        <w:spacing w:before="0" w:after="160" w:line="276" w:lineRule="auto"/>
        <w:ind w:left="1080"/>
        <w:jc w:val="both"/>
      </w:pPr>
      <w:r w:rsidRPr="007335A2">
        <w:t>industrii consumatoare de energie și/sau cu emisii mari de CO2, după cum urmează: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altor produse chimice anorganice, de bază (cod CAEN 2013);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altor produse chimice organice, de bază (cod CAEN 2014);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ingrasamintelor si produselor azotoase (cod CAEN 2015);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materialelor plastice in forme primare (cod CAEN 2016);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cimentului (cod CAEN 2351);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Producția de metale feroase sub forme primare si de feroaliaje (cod CAEN 2410);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Producția de tuburi, tevi, profile tubulare si accesorii pentru acestea, din otel (cod CAEN 2420);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Producția de profile obținute la rece (cod CAEN 243);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Metalurgia aluminiului (cod CAEN 2442);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de aeronave si nave spatiale (cod CAEN 3030);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Transporturi aeriene de pasageri (cod CAEN 5110);</w:t>
      </w:r>
    </w:p>
    <w:p w:rsidR="007B3CCD" w:rsidRPr="007335A2" w:rsidRDefault="007B3CCD" w:rsidP="007B3CCD">
      <w:pPr>
        <w:pStyle w:val="ListParagraph"/>
        <w:spacing w:line="276" w:lineRule="auto"/>
        <w:ind w:left="1800"/>
      </w:pPr>
    </w:p>
    <w:p w:rsidR="007B3CCD" w:rsidRPr="007335A2" w:rsidRDefault="007B3CCD" w:rsidP="007B3CCD">
      <w:pPr>
        <w:pStyle w:val="ListParagraph"/>
        <w:numPr>
          <w:ilvl w:val="0"/>
          <w:numId w:val="2"/>
        </w:numPr>
        <w:spacing w:before="0" w:after="160" w:line="276" w:lineRule="auto"/>
        <w:ind w:left="1080"/>
        <w:jc w:val="both"/>
      </w:pPr>
      <w:r w:rsidRPr="007335A2">
        <w:lastRenderedPageBreak/>
        <w:t>Producția, închirierea sau vânzarea de vehicule poluante:</w:t>
      </w:r>
    </w:p>
    <w:p w:rsidR="007B3CCD" w:rsidRPr="007335A2" w:rsidRDefault="007B3CCD" w:rsidP="007B3CCD">
      <w:pPr>
        <w:pStyle w:val="ListParagraph"/>
        <w:spacing w:line="276" w:lineRule="auto"/>
        <w:ind w:left="1080"/>
      </w:pPr>
    </w:p>
    <w:p w:rsidR="007B3CCD" w:rsidRPr="007335A2" w:rsidRDefault="007B3CCD" w:rsidP="007B3CCD">
      <w:pPr>
        <w:pStyle w:val="ListParagraph"/>
        <w:numPr>
          <w:ilvl w:val="1"/>
          <w:numId w:val="4"/>
        </w:numPr>
        <w:spacing w:before="0" w:after="160" w:line="276" w:lineRule="auto"/>
        <w:ind w:left="1080"/>
        <w:jc w:val="both"/>
      </w:pPr>
      <w:r w:rsidRPr="007335A2">
        <w:t>Fabricarea de vehicule cu motor cu combustie (cod CAEN 2910 Fabricarea autovehiculelor de transport rutier);</w:t>
      </w:r>
    </w:p>
    <w:p w:rsidR="007B3CCD" w:rsidRPr="007335A2" w:rsidRDefault="007B3CCD" w:rsidP="007B3CCD">
      <w:pPr>
        <w:pStyle w:val="ListParagraph"/>
        <w:numPr>
          <w:ilvl w:val="1"/>
          <w:numId w:val="4"/>
        </w:numPr>
        <w:spacing w:before="0" w:after="160" w:line="276" w:lineRule="auto"/>
        <w:ind w:left="1080"/>
        <w:jc w:val="both"/>
      </w:pPr>
      <w:r w:rsidRPr="007335A2">
        <w:t>Comerț cu ridicata și cu amănuntul al vehiculelor poluante (cod CAEN 4511 Comerț cu autoturisme si autovehicule usoare (sub 3,5 tone) și 4519 Comerț cu alte autovehicule);</w:t>
      </w:r>
    </w:p>
    <w:p w:rsidR="007B3CCD" w:rsidRPr="007335A2" w:rsidRDefault="007B3CCD" w:rsidP="007B3CCD">
      <w:pPr>
        <w:pStyle w:val="ListParagraph"/>
        <w:numPr>
          <w:ilvl w:val="1"/>
          <w:numId w:val="4"/>
        </w:numPr>
        <w:spacing w:before="0" w:after="160" w:line="276" w:lineRule="auto"/>
        <w:ind w:left="1080"/>
        <w:jc w:val="both"/>
      </w:pPr>
      <w:r w:rsidRPr="007335A2">
        <w:t>Închiriere și leasing de vehicule poluante (cod CAEN Activități de inchiriere si leasing cu autoturisme si autovehicule rutiere usoare și 7712 Activități de inchiriere si leasing cu autovehicule rutiere grele).</w:t>
      </w:r>
    </w:p>
    <w:p w:rsidR="007B3CCD" w:rsidRPr="007335A2" w:rsidRDefault="007B3CCD" w:rsidP="007B3CCD">
      <w:pPr>
        <w:spacing w:line="276" w:lineRule="auto"/>
        <w:ind w:left="1080"/>
      </w:pPr>
      <w:r w:rsidRPr="007335A2">
        <w:t>Prin vehicule poluante se înțelege: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Vehicule care depășesc pragul de 50 g CO2/km (autoturisme M1 și vehicule ușoare N1);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Camioane și alte vehicule grele de ex. tractoare (categoriile N2 și N3) numai cu emisii zero și cu emisii scăzute (așa cum este definit la articolul 3 alineatul (12) din Regulamentul (UE) 2019/1242 cele cu emisii de CO2 mai mici de jumătate din emisiile de CO2 de referință ale tuturor vehiculelor din subgrupul de vehicule din care acestea fac parte - valorile de referință diferă în funcție de tipul de camion).</w:t>
      </w:r>
    </w:p>
    <w:p w:rsidR="007B3CCD" w:rsidRPr="007335A2" w:rsidRDefault="007B3CCD" w:rsidP="007B3CCD">
      <w:pPr>
        <w:spacing w:line="276" w:lineRule="auto"/>
        <w:ind w:left="1068"/>
      </w:pPr>
      <w:r w:rsidRPr="007335A2">
        <w:t>Autobuze: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autobuze „cu podea joasă” (categoriile M2 și M3, de obicei autobuze urbane și suburbane care circulă pe distanțe scurte în cadrul unei aglomerații). Doar autobuzele electrice și hibride plug-in sunt compatibile cu DNSH.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Autobuze „cu podea înaltă” (categoriile M2 și M3, de obicei autocare interurbane): toate autocarele care respectă cel mai recent pas în ceea ce privește emisiile de poluanți de la vehiculele grele în conformitate cu EURO VI (EURO VI-E) sunt conforme cu DNSH.</w:t>
      </w:r>
    </w:p>
    <w:p w:rsidR="007B3CCD" w:rsidRPr="007335A2" w:rsidRDefault="007B3CCD" w:rsidP="007B3CCD">
      <w:pPr>
        <w:pStyle w:val="ListParagraph"/>
        <w:spacing w:line="276" w:lineRule="auto"/>
        <w:ind w:left="1428"/>
      </w:pPr>
    </w:p>
    <w:p w:rsidR="007B3CCD" w:rsidRPr="007335A2" w:rsidRDefault="007B3CCD" w:rsidP="007B3CCD">
      <w:pPr>
        <w:pStyle w:val="ListParagraph"/>
        <w:numPr>
          <w:ilvl w:val="0"/>
          <w:numId w:val="8"/>
        </w:numPr>
        <w:spacing w:before="0" w:after="160" w:line="276" w:lineRule="auto"/>
        <w:ind w:left="360"/>
        <w:jc w:val="both"/>
      </w:pPr>
      <w:r w:rsidRPr="007335A2">
        <w:t>Activități și active în cadrul sistemului UE de comercializare a cotelor de emisii (ETS) care realizează emisiile de gaze cu efect de seră proiectate care nu sunt mai mici decât valorile de referință relevante[n conformitate cu Anexa nr.1 din Directiva 2003/87/CE a Parlamentului European și a Consiliului din 13 octombrie 2003 de stabilire a unui sistem de comercializare a cotelor de emisie de gaze cu efect de seră în cadrul Comunității și de modificare a Directivei 96/61/CE a Consiliului.</w:t>
      </w:r>
    </w:p>
    <w:p w:rsidR="007B3CCD" w:rsidRPr="007335A2" w:rsidRDefault="007B3CCD" w:rsidP="007B3CCD">
      <w:pPr>
        <w:pStyle w:val="ListParagraph"/>
        <w:spacing w:line="276" w:lineRule="auto"/>
        <w:ind w:left="360"/>
      </w:pPr>
    </w:p>
    <w:p w:rsidR="007B3CCD" w:rsidRPr="007335A2" w:rsidRDefault="007B3CCD" w:rsidP="007B3CCD">
      <w:pPr>
        <w:pStyle w:val="ListParagraph"/>
        <w:numPr>
          <w:ilvl w:val="0"/>
          <w:numId w:val="8"/>
        </w:numPr>
        <w:spacing w:before="0" w:after="160" w:line="276" w:lineRule="auto"/>
        <w:ind w:left="360"/>
        <w:jc w:val="both"/>
      </w:pPr>
      <w:r w:rsidRPr="007335A2">
        <w:t>Activități și active legate de depozitele de deșeuri, incineratoare și instalații de tratare biologică mecanică și activități și active în care eliminarea pe termen lung a deșeurilor poate dăuna mediului:</w:t>
      </w:r>
    </w:p>
    <w:p w:rsidR="007B3CCD" w:rsidRPr="007335A2" w:rsidRDefault="007B3CCD" w:rsidP="007B3CCD">
      <w:pPr>
        <w:pStyle w:val="ListParagraph"/>
      </w:pP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Colectarea deseurilor (cod CAEN 381);</w:t>
      </w: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Tratarea si eliminarea deșeurilor (cod CAEN 382);</w:t>
      </w: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Prelucrarea combustibililor nucleari (cod CAEN 2446);</w:t>
      </w: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Producția de energie electrică (cod CAEN 3511).</w:t>
      </w:r>
    </w:p>
    <w:p w:rsidR="00BF4753" w:rsidRPr="00DE6EFA" w:rsidRDefault="00BF4753" w:rsidP="007B3CCD">
      <w:pPr>
        <w:ind w:firstLine="720"/>
        <w:jc w:val="both"/>
        <w:rPr>
          <w:szCs w:val="20"/>
        </w:rPr>
      </w:pPr>
    </w:p>
    <w:p w:rsidR="00BF4753" w:rsidRDefault="00BF4753" w:rsidP="00BF4753">
      <w:pPr>
        <w:jc w:val="both"/>
        <w:rPr>
          <w:snapToGrid w:val="0"/>
          <w:szCs w:val="20"/>
        </w:rPr>
      </w:pPr>
    </w:p>
    <w:p w:rsidR="00BF4753" w:rsidRPr="005B3273" w:rsidRDefault="00BF4753" w:rsidP="00BF4753">
      <w:pPr>
        <w:rPr>
          <w:szCs w:val="20"/>
        </w:rPr>
      </w:pPr>
      <w:r w:rsidRPr="006877C9">
        <w:rPr>
          <w:snapToGrid w:val="0"/>
          <w:szCs w:val="20"/>
        </w:rPr>
        <w:t xml:space="preserve"> </w:t>
      </w:r>
      <w:r w:rsidRPr="005B3273">
        <w:rPr>
          <w:szCs w:val="20"/>
        </w:rPr>
        <w:t xml:space="preserve">Semnătura: </w:t>
      </w:r>
    </w:p>
    <w:p w:rsidR="00BF4753" w:rsidRPr="00295F80" w:rsidRDefault="00BF4753" w:rsidP="00BF4753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Nume, prenume</w:t>
      </w:r>
    </w:p>
    <w:p w:rsidR="00BF4753" w:rsidRPr="00295F80" w:rsidRDefault="00BF4753" w:rsidP="00BF4753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Semnătura reprezentantului legal al solicitantului</w:t>
      </w:r>
      <w:r w:rsidR="00EE551F">
        <w:rPr>
          <w:color w:val="0070C0"/>
          <w:szCs w:val="20"/>
        </w:rPr>
        <w:t>/ împuternicit</w:t>
      </w:r>
    </w:p>
    <w:p w:rsidR="00BF4753" w:rsidRPr="005B3273" w:rsidRDefault="00BF4753" w:rsidP="00BF4753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:rsidR="00BF4753" w:rsidRPr="00295F80" w:rsidRDefault="00BF4753" w:rsidP="00BF4753">
      <w:pPr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zz/ll/aaaa</w:t>
      </w:r>
    </w:p>
    <w:sectPr w:rsidR="00BF4753" w:rsidRPr="0029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F02" w:rsidRDefault="00140F02" w:rsidP="00095FBA">
      <w:pPr>
        <w:spacing w:after="0"/>
      </w:pPr>
      <w:r>
        <w:separator/>
      </w:r>
    </w:p>
  </w:endnote>
  <w:endnote w:type="continuationSeparator" w:id="0">
    <w:p w:rsidR="00140F02" w:rsidRDefault="00140F02" w:rsidP="00095F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F02" w:rsidRDefault="00140F02" w:rsidP="00095FBA">
      <w:pPr>
        <w:spacing w:after="0"/>
      </w:pPr>
      <w:r>
        <w:separator/>
      </w:r>
    </w:p>
  </w:footnote>
  <w:footnote w:type="continuationSeparator" w:id="0">
    <w:p w:rsidR="00140F02" w:rsidRDefault="00140F02" w:rsidP="00095F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745" w:rsidRPr="00735C5D" w:rsidRDefault="00990745" w:rsidP="00990745">
    <w:pPr>
      <w:keepNext/>
      <w:spacing w:before="0" w:after="0"/>
      <w:jc w:val="both"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COMPONENTA C9. SUPORT PENTRU SECTORUL PRIVAT, CERCETARE, DEZVOLTARE ȘI INOVARE</w:t>
    </w:r>
  </w:p>
  <w:p w:rsidR="00990745" w:rsidRPr="00735C5D" w:rsidRDefault="00990745" w:rsidP="00990745">
    <w:pPr>
      <w:keepNext/>
      <w:spacing w:before="0" w:after="0"/>
      <w:jc w:val="both"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INVESTIȚIA I3. SCHEME DE AJUTOR PENTRU SECTORUL PRIVAT</w:t>
    </w:r>
  </w:p>
  <w:p w:rsidR="00990745" w:rsidRPr="00735C5D" w:rsidRDefault="00990745" w:rsidP="00990745">
    <w:pPr>
      <w:keepNext/>
      <w:spacing w:before="0" w:after="0"/>
      <w:jc w:val="both"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:rsidR="00095FBA" w:rsidRPr="00990745" w:rsidRDefault="00095FBA" w:rsidP="00990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DC8"/>
    <w:multiLevelType w:val="hybridMultilevel"/>
    <w:tmpl w:val="8326B5E2"/>
    <w:lvl w:ilvl="0" w:tplc="A14449B6">
      <w:start w:val="11"/>
      <w:numFmt w:val="bullet"/>
      <w:lvlText w:val="-"/>
      <w:lvlJc w:val="left"/>
      <w:pPr>
        <w:ind w:left="24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abstractNum w:abstractNumId="1" w15:restartNumberingAfterBreak="0">
    <w:nsid w:val="2E62125E"/>
    <w:multiLevelType w:val="hybridMultilevel"/>
    <w:tmpl w:val="E43C97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451E1"/>
    <w:multiLevelType w:val="hybridMultilevel"/>
    <w:tmpl w:val="5712E966"/>
    <w:lvl w:ilvl="0" w:tplc="A14449B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080BBF"/>
    <w:multiLevelType w:val="hybridMultilevel"/>
    <w:tmpl w:val="BC045AEA"/>
    <w:lvl w:ilvl="0" w:tplc="CE620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E29E5"/>
    <w:multiLevelType w:val="hybridMultilevel"/>
    <w:tmpl w:val="7C5C77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21687"/>
    <w:multiLevelType w:val="hybridMultilevel"/>
    <w:tmpl w:val="2A8A55E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A0254"/>
    <w:multiLevelType w:val="hybridMultilevel"/>
    <w:tmpl w:val="BC045AE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140F02"/>
    <w:rsid w:val="001B074F"/>
    <w:rsid w:val="0043014C"/>
    <w:rsid w:val="00515F16"/>
    <w:rsid w:val="0052134E"/>
    <w:rsid w:val="00557625"/>
    <w:rsid w:val="00565D19"/>
    <w:rsid w:val="0066730D"/>
    <w:rsid w:val="00670CF3"/>
    <w:rsid w:val="006F1647"/>
    <w:rsid w:val="007B3CCD"/>
    <w:rsid w:val="008D7506"/>
    <w:rsid w:val="009037B2"/>
    <w:rsid w:val="00990745"/>
    <w:rsid w:val="00BD1A17"/>
    <w:rsid w:val="00BF4753"/>
    <w:rsid w:val="00C04D3B"/>
    <w:rsid w:val="00DC1555"/>
    <w:rsid w:val="00EE4858"/>
    <w:rsid w:val="00EE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753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  <w:style w:type="paragraph" w:styleId="ListParagraph">
    <w:name w:val="List Paragraph"/>
    <w:aliases w:val="Normal bullet 2,body 2,List Paragraph11,List Paragraph111,Antes de enumeración,Listă colorată - Accentuare 11,Bullet,Citation List"/>
    <w:basedOn w:val="Normal"/>
    <w:link w:val="ListParagraphChar"/>
    <w:uiPriority w:val="34"/>
    <w:qFormat/>
    <w:rsid w:val="00BF4753"/>
    <w:pPr>
      <w:ind w:left="720"/>
      <w:contextualSpacing/>
    </w:pPr>
  </w:style>
  <w:style w:type="paragraph" w:customStyle="1" w:styleId="instruct">
    <w:name w:val="instruct"/>
    <w:basedOn w:val="Normal"/>
    <w:rsid w:val="00BF47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"/>
    <w:link w:val="ListParagraph"/>
    <w:uiPriority w:val="34"/>
    <w:locked/>
    <w:rsid w:val="007B3CCD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dcterms:created xsi:type="dcterms:W3CDTF">2023-02-22T16:20:00Z</dcterms:created>
  <dcterms:modified xsi:type="dcterms:W3CDTF">2023-02-22T16:20:00Z</dcterms:modified>
</cp:coreProperties>
</file>